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72"/>
        <w:gridCol w:w="5103"/>
        <w:gridCol w:w="5873"/>
      </w:tblGrid>
      <w:tr w:rsidR="00AF0B6C" w14:paraId="3C068A61" w14:textId="77777777" w:rsidTr="00AF0B6C">
        <w:tc>
          <w:tcPr>
            <w:tcW w:w="2972" w:type="dxa"/>
          </w:tcPr>
          <w:p w14:paraId="2E919309" w14:textId="50BB3182" w:rsidR="00AF0B6C" w:rsidRPr="00AF0B6C" w:rsidRDefault="00AF0B6C" w:rsidP="00AF0B6C">
            <w:pPr>
              <w:jc w:val="center"/>
              <w:rPr>
                <w:b/>
                <w:bCs/>
              </w:rPr>
            </w:pPr>
            <w:bookmarkStart w:id="0" w:name="_GoBack"/>
            <w:bookmarkEnd w:id="0"/>
            <w:r w:rsidRPr="00AF0B6C">
              <w:rPr>
                <w:b/>
                <w:bCs/>
              </w:rPr>
              <w:t>ΘΕΜΑ</w:t>
            </w:r>
          </w:p>
        </w:tc>
        <w:tc>
          <w:tcPr>
            <w:tcW w:w="5103" w:type="dxa"/>
          </w:tcPr>
          <w:p w14:paraId="21C285E1" w14:textId="43280A4F" w:rsidR="00AF0B6C" w:rsidRPr="00AF0B6C" w:rsidRDefault="00AF0B6C" w:rsidP="00AF0B6C">
            <w:pPr>
              <w:jc w:val="center"/>
              <w:rPr>
                <w:b/>
                <w:bCs/>
              </w:rPr>
            </w:pPr>
            <w:r w:rsidRPr="00AF0B6C">
              <w:rPr>
                <w:b/>
                <w:bCs/>
              </w:rPr>
              <w:t>ΤΙ ΙΣΧΥΕ</w:t>
            </w:r>
          </w:p>
        </w:tc>
        <w:tc>
          <w:tcPr>
            <w:tcW w:w="5873" w:type="dxa"/>
          </w:tcPr>
          <w:p w14:paraId="3E96D8C3" w14:textId="7A4F133C" w:rsidR="00AF0B6C" w:rsidRPr="00AF0B6C" w:rsidRDefault="00AF0B6C" w:rsidP="00AF0B6C">
            <w:pPr>
              <w:jc w:val="center"/>
              <w:rPr>
                <w:b/>
                <w:bCs/>
              </w:rPr>
            </w:pPr>
            <w:r w:rsidRPr="00AF0B6C">
              <w:rPr>
                <w:b/>
                <w:bCs/>
              </w:rPr>
              <w:t>ΤΙ ΑΛΛΑΖΕΙ</w:t>
            </w:r>
          </w:p>
        </w:tc>
      </w:tr>
      <w:tr w:rsidR="00AF0B6C" w14:paraId="25B42B47" w14:textId="77777777" w:rsidTr="00AF0B6C">
        <w:tc>
          <w:tcPr>
            <w:tcW w:w="2972" w:type="dxa"/>
          </w:tcPr>
          <w:p w14:paraId="61F78766" w14:textId="440E19DA" w:rsidR="00AF0B6C" w:rsidRDefault="00AF0B6C" w:rsidP="00AF0B6C">
            <w:pPr>
              <w:jc w:val="both"/>
            </w:pPr>
            <w:r>
              <w:t>Άρσεις για λόγους εθνικής ασφάλειας</w:t>
            </w:r>
            <w:r w:rsidR="00002D82">
              <w:t>.</w:t>
            </w:r>
          </w:p>
        </w:tc>
        <w:tc>
          <w:tcPr>
            <w:tcW w:w="5103" w:type="dxa"/>
          </w:tcPr>
          <w:p w14:paraId="70123DED" w14:textId="7212532F" w:rsidR="00AF0B6C" w:rsidRDefault="00AF0B6C" w:rsidP="00AF0B6C">
            <w:pPr>
              <w:jc w:val="both"/>
            </w:pPr>
            <w:r>
              <w:t>Μπορούσε να αιτηθεί οποιαδήποτε δημόσια αρχή</w:t>
            </w:r>
            <w:r w:rsidR="00002D82">
              <w:t>.</w:t>
            </w:r>
          </w:p>
        </w:tc>
        <w:tc>
          <w:tcPr>
            <w:tcW w:w="5873" w:type="dxa"/>
          </w:tcPr>
          <w:p w14:paraId="06DEA031" w14:textId="41535B40" w:rsidR="00AF0B6C" w:rsidRDefault="00002D82" w:rsidP="00AF0B6C">
            <w:pPr>
              <w:jc w:val="both"/>
            </w:pPr>
            <w:r>
              <w:t>Αίτηση δύνανται να υποβάλλουν μόνον η ΕΥΠ και η ΔΑΕΕΒ (Αντιτρομοκρατική).</w:t>
            </w:r>
          </w:p>
        </w:tc>
      </w:tr>
      <w:tr w:rsidR="00AF0B6C" w14:paraId="1A3534AA" w14:textId="77777777" w:rsidTr="00AF0B6C">
        <w:tc>
          <w:tcPr>
            <w:tcW w:w="2972" w:type="dxa"/>
          </w:tcPr>
          <w:p w14:paraId="0BED1478" w14:textId="1E6953BE" w:rsidR="00AF0B6C" w:rsidRDefault="00002D82" w:rsidP="00AF0B6C">
            <w:pPr>
              <w:jc w:val="both"/>
            </w:pPr>
            <w:r>
              <w:t xml:space="preserve">Διαδικασία </w:t>
            </w:r>
          </w:p>
        </w:tc>
        <w:tc>
          <w:tcPr>
            <w:tcW w:w="5103" w:type="dxa"/>
          </w:tcPr>
          <w:p w14:paraId="7842A002" w14:textId="77777777" w:rsidR="00AF0B6C" w:rsidRDefault="00B67620" w:rsidP="00AF0B6C">
            <w:pPr>
              <w:jc w:val="both"/>
            </w:pPr>
            <w:r>
              <w:t>Εγκρίνονταν από έναν εισαγγελικό λειτουργό.</w:t>
            </w:r>
          </w:p>
          <w:p w14:paraId="2136F29F" w14:textId="4836A921" w:rsidR="00B67620" w:rsidRPr="00B67620" w:rsidRDefault="00B67620" w:rsidP="00AF0B6C">
            <w:pPr>
              <w:jc w:val="both"/>
            </w:pPr>
            <w:r w:rsidRPr="00B67620">
              <w:t xml:space="preserve">Το δεύτερο εισαγγελικό φίλτρο προστέθηκε με την ΠΝΠ της 9/8/2022 που </w:t>
            </w:r>
            <w:proofErr w:type="spellStart"/>
            <w:r w:rsidRPr="00B67620">
              <w:t>επανέφερε</w:t>
            </w:r>
            <w:proofErr w:type="spellEnd"/>
            <w:r w:rsidRPr="00B67620">
              <w:t xml:space="preserve"> διάταξη που είχε καταργήσει ο ΣΥΡΙΖΑ το 2018</w:t>
            </w:r>
            <w:r>
              <w:t>.</w:t>
            </w:r>
          </w:p>
        </w:tc>
        <w:tc>
          <w:tcPr>
            <w:tcW w:w="5873" w:type="dxa"/>
          </w:tcPr>
          <w:p w14:paraId="54068BFC" w14:textId="2181C85D" w:rsidR="00AF0B6C" w:rsidRDefault="00B67620" w:rsidP="00AF0B6C">
            <w:pPr>
              <w:jc w:val="both"/>
            </w:pPr>
            <w:r>
              <w:t>Η αίτηση εγκρίνεται αρχικά από τους εισαγγελικούς λειτουργούς που εποπτεύουν, κατά περίπτωση, την ΕΥΠ ή τη ΔΑΕΕΒ. Κατόπιν, υποβάλλεται σε αντεισαγγελέα του ΑΠ και μετά την έγκριση αυτού ισχύει η διάταξη.</w:t>
            </w:r>
          </w:p>
        </w:tc>
      </w:tr>
      <w:tr w:rsidR="00AF0B6C" w14:paraId="4D8CE413" w14:textId="77777777" w:rsidTr="00AF0B6C">
        <w:tc>
          <w:tcPr>
            <w:tcW w:w="2972" w:type="dxa"/>
          </w:tcPr>
          <w:p w14:paraId="063229BD" w14:textId="0A1779AE" w:rsidR="00AF0B6C" w:rsidRDefault="00B67620" w:rsidP="00AF0B6C">
            <w:pPr>
              <w:jc w:val="both"/>
            </w:pPr>
            <w:r>
              <w:t>Πολιτικά πρόσωπα</w:t>
            </w:r>
          </w:p>
        </w:tc>
        <w:tc>
          <w:tcPr>
            <w:tcW w:w="5103" w:type="dxa"/>
          </w:tcPr>
          <w:p w14:paraId="4D77F22E" w14:textId="1CF5C58F" w:rsidR="00AF0B6C" w:rsidRDefault="00B67620" w:rsidP="00AF0B6C">
            <w:pPr>
              <w:jc w:val="both"/>
            </w:pPr>
            <w:r>
              <w:t>Δεν προβλεπόταν κάτι.</w:t>
            </w:r>
          </w:p>
        </w:tc>
        <w:tc>
          <w:tcPr>
            <w:tcW w:w="5873" w:type="dxa"/>
          </w:tcPr>
          <w:p w14:paraId="0D92A33C" w14:textId="7A3273EC" w:rsidR="00AF0B6C" w:rsidRDefault="00B67620" w:rsidP="00AF0B6C">
            <w:pPr>
              <w:jc w:val="both"/>
            </w:pPr>
            <w:r>
              <w:t>Τ</w:t>
            </w:r>
            <w:r w:rsidRPr="00B67620">
              <w:t>η διαδικασία επισπεύδει μόνο η ΕΥΠ</w:t>
            </w:r>
            <w:r>
              <w:t xml:space="preserve"> και</w:t>
            </w:r>
            <w:r w:rsidR="007B07BD">
              <w:t xml:space="preserve"> </w:t>
            </w:r>
            <w:r w:rsidR="007B07BD" w:rsidRPr="00B67620">
              <w:t>το αίτημα για την άρση οφείλει να στηρίζεται σε συγκεκριμένα στοιχεία που καθιστούν άμεση και εξαιρετικά πιθανή τη διακινδύνευση της εθνικής ασφάλειας</w:t>
            </w:r>
            <w:r w:rsidR="007B07BD">
              <w:t>. Επιπλέον</w:t>
            </w:r>
            <w:r w:rsidRPr="00B67620">
              <w:t>,</w:t>
            </w:r>
            <w:r w:rsidR="007B07BD">
              <w:t xml:space="preserve"> </w:t>
            </w:r>
            <w:r w:rsidRPr="00B67620">
              <w:t>θα πρέπει να δώσει άδεια ο Πρόεδρος της Βουλής πριν την διπλή εισαγγελική κρίση</w:t>
            </w:r>
            <w:r w:rsidR="007B07BD">
              <w:t>.</w:t>
            </w:r>
            <w:r w:rsidRPr="00B67620">
              <w:t xml:space="preserve"> </w:t>
            </w:r>
          </w:p>
        </w:tc>
      </w:tr>
      <w:tr w:rsidR="00AF0B6C" w14:paraId="6A62FD2E" w14:textId="77777777" w:rsidTr="00AF0B6C">
        <w:tc>
          <w:tcPr>
            <w:tcW w:w="2972" w:type="dxa"/>
          </w:tcPr>
          <w:p w14:paraId="31169E58" w14:textId="0F866357" w:rsidR="00AF0B6C" w:rsidRDefault="00007A29" w:rsidP="00AF0B6C">
            <w:pPr>
              <w:jc w:val="both"/>
            </w:pPr>
            <w:r>
              <w:t>Εκ των υστέρων ενημέρωση καθ΄ ου η άρση πρόσωπο</w:t>
            </w:r>
          </w:p>
        </w:tc>
        <w:tc>
          <w:tcPr>
            <w:tcW w:w="5103" w:type="dxa"/>
          </w:tcPr>
          <w:p w14:paraId="4BC56FF5" w14:textId="6314C187" w:rsidR="00AF0B6C" w:rsidRDefault="00007A29" w:rsidP="00AF0B6C">
            <w:pPr>
              <w:jc w:val="both"/>
            </w:pPr>
            <w:r w:rsidRPr="00007A29">
              <w:t xml:space="preserve">Έως το 2021, ήταν δυνατόν να ενημερώνεται κατά τη διακριτική ευχέρεια του </w:t>
            </w:r>
            <w:proofErr w:type="spellStart"/>
            <w:r w:rsidRPr="00007A29">
              <w:t>αποφασίζοντος</w:t>
            </w:r>
            <w:proofErr w:type="spellEnd"/>
            <w:r w:rsidRPr="00007A29">
              <w:t xml:space="preserve"> οργάνου, μόνο εφόσον δεν υφίστατο διακύβευση του σκοπού για τον οποίο διατάχθηκε η άρση. Έκτοτε δεν ήταν δυνατή η ενημέρωση όταν επρόκειτο για λόγους εθνικής ασφάλειας (ήταν όμως δυνατή για άρσεις προς διακρίβωση εγκλημάτων).</w:t>
            </w:r>
          </w:p>
        </w:tc>
        <w:tc>
          <w:tcPr>
            <w:tcW w:w="5873" w:type="dxa"/>
          </w:tcPr>
          <w:p w14:paraId="7064E99C" w14:textId="734ACB5F" w:rsidR="00AF0B6C" w:rsidRDefault="00007A29" w:rsidP="00AF0B6C">
            <w:pPr>
              <w:jc w:val="both"/>
            </w:pPr>
            <w:r>
              <w:t>Το</w:t>
            </w:r>
            <w:r w:rsidRPr="00007A29">
              <w:t xml:space="preserve"> </w:t>
            </w:r>
            <w:r>
              <w:t>υποκείμενο ενημερώνεται</w:t>
            </w:r>
            <w:r w:rsidRPr="00007A29">
              <w:t xml:space="preserve"> υπό την προϋπόθεση ότι δεν διακυβεύεται ο σκοπός για τον οποίο διατάχθηκε η άρση και μετά την πάροδο 3 ετών από την παύση της. Την ενημέρωση αποφασίζει τριμελές όργανο που απαρτίζεται από τον αρμόδιο εισαγγελέα, τον διοικητή της ΕΥΠ ή τον διευθυντή της ΔΑΕΕΒ και τον πρόεδρο της ΑΔΑΕ.</w:t>
            </w:r>
          </w:p>
        </w:tc>
      </w:tr>
      <w:tr w:rsidR="00AF0B6C" w14:paraId="00F9B3B8" w14:textId="77777777" w:rsidTr="00AF0B6C">
        <w:tc>
          <w:tcPr>
            <w:tcW w:w="2972" w:type="dxa"/>
          </w:tcPr>
          <w:p w14:paraId="7297C31F" w14:textId="70CCECAB" w:rsidR="00AF0B6C" w:rsidRDefault="00B02D14" w:rsidP="00AF0B6C">
            <w:pPr>
              <w:jc w:val="both"/>
            </w:pPr>
            <w:r>
              <w:t>Καταστροφή αρχείου-υλικού άρσεων</w:t>
            </w:r>
          </w:p>
        </w:tc>
        <w:tc>
          <w:tcPr>
            <w:tcW w:w="5103" w:type="dxa"/>
          </w:tcPr>
          <w:p w14:paraId="43256E4D" w14:textId="507EAC77" w:rsidR="00AF0B6C" w:rsidRDefault="00B02D14" w:rsidP="00AF0B6C">
            <w:pPr>
              <w:jc w:val="both"/>
            </w:pPr>
            <w:r>
              <w:t>Προβλεπόταν</w:t>
            </w:r>
            <w:r w:rsidRPr="00B02D14">
              <w:t xml:space="preserve"> η καταστροφή των αρχείων χωρίς όμως συγκεκριμένα χρονικά πλαίσια και συγκεκριμένες διαδικασίες.</w:t>
            </w:r>
          </w:p>
        </w:tc>
        <w:tc>
          <w:tcPr>
            <w:tcW w:w="5873" w:type="dxa"/>
          </w:tcPr>
          <w:p w14:paraId="0E056B80" w14:textId="7649280C" w:rsidR="00AF0B6C" w:rsidRDefault="00B02D14" w:rsidP="00AF0B6C">
            <w:pPr>
              <w:jc w:val="both"/>
            </w:pPr>
            <w:r>
              <w:t xml:space="preserve">Πλέον </w:t>
            </w:r>
            <w:r w:rsidRPr="00B02D14">
              <w:t xml:space="preserve">η σχετική διαδικασία τυποποιείται. Για μεν το περιεχόμενο της παρακολούθησης, προβλέπεται καταρχήν αυτόματη διαγραφή  μετά την πάροδο 6 μηνών από την παύση της άρσης. Για δε τον φάκελο με το υλικό τεκμηρίωσης για την άρση, προβλέπεται η καταστροφή του </w:t>
            </w:r>
            <w:r>
              <w:t>υπό προϋποθέσεις</w:t>
            </w:r>
            <w:r w:rsidRPr="00B02D14">
              <w:t xml:space="preserve"> μετά την πάροδο 10 ετών από τη λήξη της άρσης. Προβλέπεται επιπλέον δυνατότητα πλήρους </w:t>
            </w:r>
            <w:proofErr w:type="spellStart"/>
            <w:r w:rsidRPr="00B02D14">
              <w:t>ψηφιοποίησης</w:t>
            </w:r>
            <w:proofErr w:type="spellEnd"/>
            <w:r w:rsidRPr="00B02D14">
              <w:t xml:space="preserve"> του αρχείου για εύκολη αναζήτηση και μείζονα ασφάλεια.</w:t>
            </w:r>
          </w:p>
        </w:tc>
      </w:tr>
      <w:tr w:rsidR="00AF0B6C" w14:paraId="61A396A1" w14:textId="77777777" w:rsidTr="00AF0B6C">
        <w:tc>
          <w:tcPr>
            <w:tcW w:w="2972" w:type="dxa"/>
          </w:tcPr>
          <w:p w14:paraId="06703F63" w14:textId="7AC94CE2" w:rsidR="00AF0B6C" w:rsidRDefault="00820427" w:rsidP="00AF0B6C">
            <w:pPr>
              <w:jc w:val="both"/>
            </w:pPr>
            <w:r>
              <w:t>Άρσεις για διακρίβωση εγκλημάτων</w:t>
            </w:r>
          </w:p>
        </w:tc>
        <w:tc>
          <w:tcPr>
            <w:tcW w:w="5103" w:type="dxa"/>
          </w:tcPr>
          <w:p w14:paraId="1B3C6C85" w14:textId="28162B5A" w:rsidR="00AF0B6C" w:rsidRDefault="00BC715A" w:rsidP="00AF0B6C">
            <w:pPr>
              <w:jc w:val="both"/>
            </w:pPr>
            <w:r w:rsidRPr="00BC715A">
              <w:t>Έως σήμερα ο κατάλογος ήταν εξαιρετικά ευρύς και περιλάμβανε κακουργήματα και πλημμελήματα του ποινικού κώδικα και ειδικών ποινικών νόμων.</w:t>
            </w:r>
          </w:p>
        </w:tc>
        <w:tc>
          <w:tcPr>
            <w:tcW w:w="5873" w:type="dxa"/>
          </w:tcPr>
          <w:p w14:paraId="781BE816" w14:textId="48343C19" w:rsidR="00AF0B6C" w:rsidRDefault="00820427" w:rsidP="00AF0B6C">
            <w:pPr>
              <w:jc w:val="both"/>
            </w:pPr>
            <w:r w:rsidRPr="00820427">
              <w:t xml:space="preserve">Ο κατάλογος αυτός </w:t>
            </w:r>
            <w:proofErr w:type="spellStart"/>
            <w:r w:rsidRPr="00820427">
              <w:t>εξορθολογίζεται</w:t>
            </w:r>
            <w:proofErr w:type="spellEnd"/>
            <w:r>
              <w:t xml:space="preserve">, σύμφωνα και με το άρθρο 19 παρ. 1 Σ που απαιτεί η άρση για διακρίβωση εγκλημάτων να αποφασίζεται μόνον για διακρίβωση ιδιαίτερα σοβαρών </w:t>
            </w:r>
            <w:r>
              <w:lastRenderedPageBreak/>
              <w:t>εγκλημάτων.</w:t>
            </w:r>
            <w:r w:rsidRPr="00820427">
              <w:t xml:space="preserve"> </w:t>
            </w:r>
            <w:r>
              <w:t>Περιλαμβάνει,</w:t>
            </w:r>
            <w:r w:rsidRPr="00820427">
              <w:t xml:space="preserve"> καταρχήν όλα τα κακουργήματα και από τα πλημμελήματα μόνο όσα φέρουν ιδιαίτερη απαξία (πχ κατά ανηλίκων, εμπρησμοί, εγκληματική συμμορία) αφαιρώντας </w:t>
            </w:r>
            <w:r>
              <w:t>πλημμελήματα</w:t>
            </w:r>
            <w:r w:rsidRPr="00820427">
              <w:t xml:space="preserve"> </w:t>
            </w:r>
            <w:r>
              <w:t xml:space="preserve">και </w:t>
            </w:r>
            <w:r w:rsidRPr="00820427">
              <w:t xml:space="preserve">τους περισσότερους ειδικούς νόμους. Για παράδειγμα, δεν μπορεί </w:t>
            </w:r>
            <w:r>
              <w:t>πλέον ν</w:t>
            </w:r>
            <w:r w:rsidRPr="00820427">
              <w:t>α διαταχθεί η άρση για απλή κλοπή ή απάτη.</w:t>
            </w:r>
          </w:p>
        </w:tc>
      </w:tr>
      <w:tr w:rsidR="00BD0019" w14:paraId="026B6682" w14:textId="77777777" w:rsidTr="00BD0019">
        <w:tc>
          <w:tcPr>
            <w:tcW w:w="2972" w:type="dxa"/>
          </w:tcPr>
          <w:p w14:paraId="0438E35A" w14:textId="6019DD43" w:rsidR="00BD0019" w:rsidRDefault="00BD0019" w:rsidP="00AF0B6C">
            <w:pPr>
              <w:jc w:val="both"/>
            </w:pPr>
            <w:r>
              <w:lastRenderedPageBreak/>
              <w:t>Χρονική διάρκεια άρσεων απορρήτου</w:t>
            </w:r>
          </w:p>
        </w:tc>
        <w:tc>
          <w:tcPr>
            <w:tcW w:w="5103" w:type="dxa"/>
          </w:tcPr>
          <w:p w14:paraId="38D7C424" w14:textId="0D1C9778" w:rsidR="00BD0019" w:rsidRDefault="00BD0019" w:rsidP="00BD0019">
            <w:pPr>
              <w:jc w:val="both"/>
            </w:pPr>
            <w:r w:rsidRPr="00BD0019">
              <w:t>οι άρσεις διατάσσονται για δίμηνο με δυνατότητα ανανέωσης</w:t>
            </w:r>
            <w:r>
              <w:t>.</w:t>
            </w:r>
            <w:r w:rsidRPr="00BD0019">
              <w:t xml:space="preserve"> </w:t>
            </w:r>
            <w:r>
              <w:t>Δ</w:t>
            </w:r>
            <w:r w:rsidRPr="00BD0019">
              <w:t>εν υπάρχει απώτατο χρονικό όριο για άρσεις λόγω εθνικής ασφάλειας και υπάρχει όριο 10 μηνών για τη διακρίβωση εγκλημάτων.</w:t>
            </w:r>
          </w:p>
        </w:tc>
        <w:tc>
          <w:tcPr>
            <w:tcW w:w="5873" w:type="dxa"/>
          </w:tcPr>
          <w:p w14:paraId="15769CD5" w14:textId="3BBB9056" w:rsidR="00BD0019" w:rsidRDefault="00BD0019" w:rsidP="00BD0019">
            <w:pPr>
              <w:jc w:val="both"/>
            </w:pPr>
            <w:r w:rsidRPr="00BD0019">
              <w:t>Πλέον το όριο των 10 μηνών καταλαμβάνει και τις άρσεις λόγω εθνικής ασφάλειας, εκτός εάν η αίτηση στηρίζεται σε συγκεκριμένα στοιχεία που καθιστούν άμεση και εξαιρετικά πιθανή τη διακινδύνευση της εθνικής ασφάλειας</w:t>
            </w:r>
          </w:p>
        </w:tc>
      </w:tr>
      <w:tr w:rsidR="00D204AE" w14:paraId="39D70244" w14:textId="77777777" w:rsidTr="00BD0019">
        <w:tc>
          <w:tcPr>
            <w:tcW w:w="2972" w:type="dxa"/>
          </w:tcPr>
          <w:p w14:paraId="75C9C149" w14:textId="586D22CE" w:rsidR="00D204AE" w:rsidRDefault="00D204AE" w:rsidP="00AF0B6C">
            <w:pPr>
              <w:jc w:val="both"/>
            </w:pPr>
            <w:r>
              <w:t>Α</w:t>
            </w:r>
            <w:r w:rsidRPr="00D204AE">
              <w:t>παγ</w:t>
            </w:r>
            <w:r>
              <w:t xml:space="preserve">όρευση παραγωγής, εμπορίας, κατοχής, διακίνησης με οποιονδήποτε τρόπο και </w:t>
            </w:r>
            <w:r w:rsidRPr="00D204AE">
              <w:t>χρήση απαγορευμένων λογισμικών</w:t>
            </w:r>
          </w:p>
        </w:tc>
        <w:tc>
          <w:tcPr>
            <w:tcW w:w="5103" w:type="dxa"/>
          </w:tcPr>
          <w:p w14:paraId="5808F37F" w14:textId="6BA785B5" w:rsidR="00D204AE" w:rsidRPr="00BD0019" w:rsidRDefault="00D204AE" w:rsidP="00BD0019">
            <w:pPr>
              <w:jc w:val="both"/>
            </w:pPr>
            <w:r w:rsidRPr="00D204AE">
              <w:t>Έως το 2019 η παράνομη υποκλοπή ήταν κακούργημα και τιμωρείτο με κάθειρξη έως 10 έτη, ενώ η κατοχή και εμπορία παράνομων λογισμικών ήταν πλημμέλημα και τιμωρείτο με φυλάκιση έως 2 έτη. Λίγες μέρες πριν τη διάλυση της Βουλής για τις εκλογές του 2019 και ενόσω ο ΣΥΡΙΖΑ γνώριζε την ύπαρξη στην Ελλάδα παράνομων λογισμικών, άλλαξε ακατανόητα ο Ποινικός Κώδικας με αποτέλεσμα η μεν υποκλοπή πλέον να τιμωρείται με φυλάκιση από 10 μέρες έως 5 έτη, η δε κατοχή και εμπορία αποποινικοποιήθηκε</w:t>
            </w:r>
          </w:p>
        </w:tc>
        <w:tc>
          <w:tcPr>
            <w:tcW w:w="5873" w:type="dxa"/>
          </w:tcPr>
          <w:p w14:paraId="6A723137" w14:textId="783246B0" w:rsidR="00D204AE" w:rsidRPr="00BD0019" w:rsidRDefault="00D204AE" w:rsidP="00BD0019">
            <w:pPr>
              <w:jc w:val="both"/>
            </w:pPr>
            <w:r w:rsidRPr="00D204AE">
              <w:t xml:space="preserve">Με τις προτεινόμενες διατάξεις επανέρχεται ως είχε το κακούργημα για τη χρήση παράνομων λογισμικών και συσκευών και </w:t>
            </w:r>
            <w:proofErr w:type="spellStart"/>
            <w:r>
              <w:t>ποινικοποιείται</w:t>
            </w:r>
            <w:proofErr w:type="spellEnd"/>
            <w:r>
              <w:t xml:space="preserve">, εκ νέου, </w:t>
            </w:r>
            <w:r w:rsidRPr="00D204AE">
              <w:t>το πλημμέλημα της εμπορίας και κατοχής με ποινή 1-5 έτη.</w:t>
            </w:r>
          </w:p>
        </w:tc>
      </w:tr>
      <w:tr w:rsidR="001C5911" w14:paraId="07508A8C" w14:textId="77777777" w:rsidTr="00BD0019">
        <w:tc>
          <w:tcPr>
            <w:tcW w:w="2972" w:type="dxa"/>
          </w:tcPr>
          <w:p w14:paraId="3000E91F" w14:textId="021C90D0" w:rsidR="001C5911" w:rsidRDefault="001C5911" w:rsidP="00AF0B6C">
            <w:pPr>
              <w:jc w:val="both"/>
            </w:pPr>
            <w:r>
              <w:t>Ποια είναι τα απαγορευμένα λογισμικά</w:t>
            </w:r>
          </w:p>
        </w:tc>
        <w:tc>
          <w:tcPr>
            <w:tcW w:w="5103" w:type="dxa"/>
          </w:tcPr>
          <w:p w14:paraId="2DFC12CB" w14:textId="77777777" w:rsidR="001C5911" w:rsidRPr="00D204AE" w:rsidRDefault="001C5911" w:rsidP="00BD0019">
            <w:pPr>
              <w:jc w:val="both"/>
            </w:pPr>
          </w:p>
        </w:tc>
        <w:tc>
          <w:tcPr>
            <w:tcW w:w="5873" w:type="dxa"/>
          </w:tcPr>
          <w:p w14:paraId="3A69C8FE" w14:textId="097DB78F" w:rsidR="001C5911" w:rsidRPr="00D204AE" w:rsidRDefault="001C5911" w:rsidP="00BD0019">
            <w:pPr>
              <w:jc w:val="both"/>
            </w:pPr>
            <w:r w:rsidRPr="001C5911">
              <w:t>Απαγορευμένα λογισμικά ή συσκευές παρακολούθησης λογίζονται λογισμικά ή συσκευές με δυνατότητα  υποκλοπής, καταγραφής και κάθε είδους άντλησης περιεχομένου ή και δεδομένων επικοινωνίας (κίνησης και θέσης), τα οποία καθορίζονται με απόφαση του Διοικητή της ΕΥΠ που θα δημοσιευτεί μέσα σε 3 ημέρες από την ισχύ του νόμου</w:t>
            </w:r>
            <w:r>
              <w:t xml:space="preserve"> και η απόφαση αυτή θα</w:t>
            </w:r>
            <w:r w:rsidRPr="001C5911">
              <w:t xml:space="preserve"> </w:t>
            </w:r>
            <w:proofErr w:type="spellStart"/>
            <w:r w:rsidRPr="001C5911">
              <w:t>επικαιροποιείται</w:t>
            </w:r>
            <w:proofErr w:type="spellEnd"/>
            <w:r w:rsidRPr="001C5911">
              <w:t xml:space="preserve"> το αργότερο κάθε 6 μήνες. </w:t>
            </w:r>
          </w:p>
        </w:tc>
      </w:tr>
      <w:tr w:rsidR="001C5911" w14:paraId="388C6818" w14:textId="77777777" w:rsidTr="00BD0019">
        <w:tc>
          <w:tcPr>
            <w:tcW w:w="2972" w:type="dxa"/>
          </w:tcPr>
          <w:p w14:paraId="62C04AD1" w14:textId="5DB40A63" w:rsidR="001C5911" w:rsidRDefault="001C5911" w:rsidP="00AF0B6C">
            <w:pPr>
              <w:jc w:val="both"/>
            </w:pPr>
            <w:r>
              <w:t>Ενημέρωση κοινού</w:t>
            </w:r>
          </w:p>
        </w:tc>
        <w:tc>
          <w:tcPr>
            <w:tcW w:w="5103" w:type="dxa"/>
          </w:tcPr>
          <w:p w14:paraId="06032E70" w14:textId="77777777" w:rsidR="001C5911" w:rsidRPr="00D204AE" w:rsidRDefault="001C5911" w:rsidP="00BD0019">
            <w:pPr>
              <w:jc w:val="both"/>
            </w:pPr>
          </w:p>
        </w:tc>
        <w:tc>
          <w:tcPr>
            <w:tcW w:w="5873" w:type="dxa"/>
          </w:tcPr>
          <w:p w14:paraId="4319317D" w14:textId="5859B6E4" w:rsidR="001C5911" w:rsidRPr="001C5911" w:rsidRDefault="001C5911" w:rsidP="00BD0019">
            <w:pPr>
              <w:jc w:val="both"/>
            </w:pPr>
            <w:r w:rsidRPr="001C5911">
              <w:t xml:space="preserve">Επιπλέον, με ανακοίνωση του Διοικητή της ΕΥΠ, που αναρτάται στον </w:t>
            </w:r>
            <w:proofErr w:type="spellStart"/>
            <w:r w:rsidRPr="001C5911">
              <w:t>ιστοχώρο</w:t>
            </w:r>
            <w:proofErr w:type="spellEnd"/>
            <w:r w:rsidRPr="001C5911">
              <w:t xml:space="preserve"> της Υπηρεσίας ενημερώνεται το κοινό για τα </w:t>
            </w:r>
            <w:r w:rsidRPr="001C5911">
              <w:lastRenderedPageBreak/>
              <w:t>απαγορευμένα λογισμικά, τον τρόπο δράσης τους και τα μέτρα προστασίας που δύναται να λάβει έναντι αυτώ</w:t>
            </w:r>
            <w:r>
              <w:t>ν.</w:t>
            </w:r>
          </w:p>
        </w:tc>
      </w:tr>
      <w:tr w:rsidR="00632837" w14:paraId="3E996952" w14:textId="77777777" w:rsidTr="00BD0019">
        <w:tc>
          <w:tcPr>
            <w:tcW w:w="2972" w:type="dxa"/>
          </w:tcPr>
          <w:p w14:paraId="1AD24C69" w14:textId="70D96F5E" w:rsidR="00632837" w:rsidRPr="00885127" w:rsidRDefault="00632837" w:rsidP="00AF0B6C">
            <w:pPr>
              <w:jc w:val="both"/>
            </w:pPr>
            <w:r>
              <w:lastRenderedPageBreak/>
              <w:t>Προμήθεια λογισμικών από κρατικές δομές</w:t>
            </w:r>
          </w:p>
        </w:tc>
        <w:tc>
          <w:tcPr>
            <w:tcW w:w="5103" w:type="dxa"/>
          </w:tcPr>
          <w:p w14:paraId="10CA0927" w14:textId="77777777" w:rsidR="00632837" w:rsidRPr="00D204AE" w:rsidRDefault="00632837" w:rsidP="00BD0019">
            <w:pPr>
              <w:jc w:val="both"/>
            </w:pPr>
          </w:p>
        </w:tc>
        <w:tc>
          <w:tcPr>
            <w:tcW w:w="5873" w:type="dxa"/>
          </w:tcPr>
          <w:p w14:paraId="31CDC8B4" w14:textId="1507871C" w:rsidR="00632837" w:rsidRPr="001C5911" w:rsidRDefault="00632837" w:rsidP="00BD0019">
            <w:pPr>
              <w:jc w:val="both"/>
            </w:pPr>
            <w:r w:rsidRPr="00632837">
              <w:t xml:space="preserve">Το δημόσιο θα μπορεί να προμηθεύεται κατασκοπευτικά λογισμικά υπό προϋποθέσεις που θα καθορίζονται με προεδρικό διάταγμα των συναρμόδιων υπουργών </w:t>
            </w:r>
            <w:r>
              <w:t>και το οποίο</w:t>
            </w:r>
            <w:r w:rsidRPr="00632837">
              <w:t xml:space="preserve"> θα έχει τύχει της προβλεπόμενης επεξεργασίας του Συμβουλίου της Επικρατείας.</w:t>
            </w:r>
          </w:p>
        </w:tc>
      </w:tr>
      <w:tr w:rsidR="00891418" w14:paraId="43DFE1A2" w14:textId="77777777" w:rsidTr="00BD0019">
        <w:tc>
          <w:tcPr>
            <w:tcW w:w="2972" w:type="dxa"/>
          </w:tcPr>
          <w:p w14:paraId="6874DC99" w14:textId="60D2310A" w:rsidR="00891418" w:rsidRDefault="00891418" w:rsidP="00AF0B6C">
            <w:pPr>
              <w:jc w:val="both"/>
            </w:pPr>
            <w:r>
              <w:t>Διοίκηση ΕΥΠ</w:t>
            </w:r>
          </w:p>
        </w:tc>
        <w:tc>
          <w:tcPr>
            <w:tcW w:w="5103" w:type="dxa"/>
          </w:tcPr>
          <w:p w14:paraId="663FC494" w14:textId="4349BEED" w:rsidR="00891418" w:rsidRPr="00D204AE" w:rsidRDefault="00891418" w:rsidP="00BD0019">
            <w:pPr>
              <w:jc w:val="both"/>
            </w:pPr>
            <w:r>
              <w:t>Ο</w:t>
            </w:r>
            <w:r w:rsidRPr="00891418">
              <w:t xml:space="preserve"> </w:t>
            </w:r>
            <w:r>
              <w:t>Δ</w:t>
            </w:r>
            <w:r w:rsidRPr="00891418">
              <w:t xml:space="preserve">ιοικητής και οι </w:t>
            </w:r>
            <w:r>
              <w:t>Υ</w:t>
            </w:r>
            <w:r w:rsidRPr="00891418">
              <w:t>ποδιοικητές  μπορεί να προέρχονται από τον δημόσιο ή τον ιδιωτικό τομέα</w:t>
            </w:r>
            <w:r>
              <w:t>.</w:t>
            </w:r>
          </w:p>
        </w:tc>
        <w:tc>
          <w:tcPr>
            <w:tcW w:w="5873" w:type="dxa"/>
          </w:tcPr>
          <w:p w14:paraId="37654A4B" w14:textId="7F3E1420" w:rsidR="00891418" w:rsidRPr="00632837" w:rsidRDefault="00891418" w:rsidP="00BD0019">
            <w:pPr>
              <w:jc w:val="both"/>
            </w:pPr>
            <w:r w:rsidRPr="00891418">
              <w:t>Διοικητής ορίζεται πρόσωπο προερχόμενο από το διπλωματικό σώμα ή απόστρατος ανώτατος αξιωματικός. Υποδιοικητές μπορεί να είναι κάποιοι από τους ανωτέρω, καθώς και υπάλληλοι και λειτουργοί του δημοσίου και του ευρύτερου δημοσίου τομέα. Επιπλέον, ο αριθμός των υποδιοικητών περιορίζεται από 3 που είναι σήμερα σε 2.</w:t>
            </w:r>
          </w:p>
        </w:tc>
      </w:tr>
      <w:tr w:rsidR="00891418" w14:paraId="4595B35F" w14:textId="77777777" w:rsidTr="00BD0019">
        <w:tc>
          <w:tcPr>
            <w:tcW w:w="2972" w:type="dxa"/>
          </w:tcPr>
          <w:p w14:paraId="4A7F313D" w14:textId="3E8E7F3F" w:rsidR="00891418" w:rsidRDefault="00891418" w:rsidP="00AF0B6C">
            <w:pPr>
              <w:jc w:val="both"/>
            </w:pPr>
            <w:r>
              <w:t>Οργάνωση ΕΥΠ</w:t>
            </w:r>
          </w:p>
        </w:tc>
        <w:tc>
          <w:tcPr>
            <w:tcW w:w="5103" w:type="dxa"/>
          </w:tcPr>
          <w:p w14:paraId="0C90C89B" w14:textId="77777777" w:rsidR="00891418" w:rsidRPr="00D204AE" w:rsidRDefault="00891418" w:rsidP="00BD0019">
            <w:pPr>
              <w:jc w:val="both"/>
            </w:pPr>
          </w:p>
        </w:tc>
        <w:tc>
          <w:tcPr>
            <w:tcW w:w="5873" w:type="dxa"/>
          </w:tcPr>
          <w:p w14:paraId="296C94D0" w14:textId="6A83EF77" w:rsidR="00891418" w:rsidRPr="00632837" w:rsidRDefault="00891418" w:rsidP="00BD0019">
            <w:pPr>
              <w:jc w:val="both"/>
            </w:pPr>
            <w:r w:rsidRPr="00891418">
              <w:rPr>
                <w:b/>
                <w:bCs/>
              </w:rPr>
              <w:t>Προστίθενται</w:t>
            </w:r>
            <w:r w:rsidRPr="00891418">
              <w:t xml:space="preserve"> 3 νέ</w:t>
            </w:r>
            <w:r>
              <w:t>ες</w:t>
            </w:r>
            <w:r w:rsidRPr="00891418">
              <w:t xml:space="preserve"> δομές. α) Η Ακαδημία Πληροφοριών και Αντικατασκοπείας με αποστολή την εκπαίδευση, επιμόρφωση και εξειδίκευση του προσωπικού της ΕΥΠ για την αποτελεσματικότερη εκτέλεση των καθηκόντων του. β) Η Μονάδα Εσωτερικού Ελέγχου, η οποία είναι αρμόδια μεταξύ άλλων για τον εσωτερικό έλεγχο της ΕΥΠ. γ) Το Γραφείο Τύπου και Επικοινωνίας, με αρμοδιότητα για την προβολή του έργου της υπηρεσίας και για την ενημέρωση της κοινωνίας για τις δράσεις της και για τυχόν κινδύνους για την εθνική ασφάλεια</w:t>
            </w:r>
          </w:p>
        </w:tc>
      </w:tr>
      <w:tr w:rsidR="00891418" w14:paraId="46DFE476" w14:textId="77777777" w:rsidTr="00BD0019">
        <w:tc>
          <w:tcPr>
            <w:tcW w:w="2972" w:type="dxa"/>
          </w:tcPr>
          <w:p w14:paraId="1F4ED64E" w14:textId="1484971A" w:rsidR="00891418" w:rsidRDefault="00891418" w:rsidP="00AF0B6C">
            <w:pPr>
              <w:jc w:val="both"/>
            </w:pPr>
            <w:r>
              <w:t>Λειτουργία ΕΥΠ</w:t>
            </w:r>
          </w:p>
        </w:tc>
        <w:tc>
          <w:tcPr>
            <w:tcW w:w="5103" w:type="dxa"/>
          </w:tcPr>
          <w:p w14:paraId="2E8036DE" w14:textId="77777777" w:rsidR="00891418" w:rsidRPr="00D204AE" w:rsidRDefault="00891418" w:rsidP="00BD0019">
            <w:pPr>
              <w:jc w:val="both"/>
            </w:pPr>
          </w:p>
        </w:tc>
        <w:tc>
          <w:tcPr>
            <w:tcW w:w="5873" w:type="dxa"/>
          </w:tcPr>
          <w:p w14:paraId="0FDF9EBF" w14:textId="77777777" w:rsidR="00891418" w:rsidRDefault="00891418" w:rsidP="00BD0019">
            <w:pPr>
              <w:jc w:val="both"/>
            </w:pPr>
            <w:r>
              <w:t>Η ΕΥΠ ως</w:t>
            </w:r>
            <w:r w:rsidRPr="00891418">
              <w:t xml:space="preserve"> Αρχή Ασφαλείας Πληροφοριών (INFOSEC) καθίσταται αρμόδια για τη σύνταξη πολιτικών ασφαλείας και οδηγιών διαχείρισης των διαβαθμισμένων πληροφοριών σε όλα τα δίκτυα και τους χώρους της Προεδρίας της Κυβέρνησης και των Υπουργείων σε συνεργασία μαζί τους, καθώς και για τη συνεχή ενημέρωσή τους σε θέματα ασφάλειας</w:t>
            </w:r>
            <w:r>
              <w:t xml:space="preserve">. </w:t>
            </w:r>
          </w:p>
          <w:p w14:paraId="07C5B5E6" w14:textId="2A2606CD" w:rsidR="00891418" w:rsidRPr="00632837" w:rsidRDefault="00891418" w:rsidP="00BD0019">
            <w:pPr>
              <w:jc w:val="both"/>
            </w:pPr>
            <w:r w:rsidRPr="00891418">
              <w:rPr>
                <w:b/>
                <w:bCs/>
              </w:rPr>
              <w:lastRenderedPageBreak/>
              <w:t>Καταργείται</w:t>
            </w:r>
            <w:r w:rsidRPr="00891418">
              <w:t xml:space="preserve"> η δυνατότητα απόρρητων συμβάσεων στο Κέντρο Τεχνολογικής Υποστήριξης, Ανάπτυξης και Καινοτομίας (ΚΕ.Τ.Υ.Α.Κ.)</w:t>
            </w:r>
          </w:p>
        </w:tc>
      </w:tr>
      <w:tr w:rsidR="00264A2F" w14:paraId="5EE8128B" w14:textId="77777777" w:rsidTr="00BD0019">
        <w:tc>
          <w:tcPr>
            <w:tcW w:w="2972" w:type="dxa"/>
          </w:tcPr>
          <w:p w14:paraId="50FF9BCE" w14:textId="6DE9AAFC" w:rsidR="00264A2F" w:rsidRDefault="00264A2F" w:rsidP="00AF0B6C">
            <w:pPr>
              <w:jc w:val="both"/>
            </w:pPr>
            <w:proofErr w:type="spellStart"/>
            <w:r>
              <w:lastRenderedPageBreak/>
              <w:t>Κυβερνοασφάλεια</w:t>
            </w:r>
            <w:proofErr w:type="spellEnd"/>
          </w:p>
        </w:tc>
        <w:tc>
          <w:tcPr>
            <w:tcW w:w="5103" w:type="dxa"/>
          </w:tcPr>
          <w:p w14:paraId="790900EE" w14:textId="77777777" w:rsidR="00264A2F" w:rsidRPr="00D204AE" w:rsidRDefault="00264A2F" w:rsidP="00BD0019">
            <w:pPr>
              <w:jc w:val="both"/>
            </w:pPr>
          </w:p>
        </w:tc>
        <w:tc>
          <w:tcPr>
            <w:tcW w:w="5873" w:type="dxa"/>
          </w:tcPr>
          <w:p w14:paraId="69759528" w14:textId="02347F88" w:rsidR="00264A2F" w:rsidRDefault="00264A2F" w:rsidP="00BD0019">
            <w:pPr>
              <w:jc w:val="both"/>
            </w:pPr>
            <w:r>
              <w:t>Σ</w:t>
            </w:r>
            <w:r w:rsidRPr="00264A2F">
              <w:t xml:space="preserve">υστήνεται Επιτροπή Συντονισμού για θέματα </w:t>
            </w:r>
            <w:proofErr w:type="spellStart"/>
            <w:r w:rsidRPr="00264A2F">
              <w:t>Κυβερνοασφάλειας</w:t>
            </w:r>
            <w:proofErr w:type="spellEnd"/>
            <w:r w:rsidRPr="00264A2F">
              <w:t xml:space="preserve">, ως συντονιστικό όργανο μεταξύ: α) της Γενικής Διεύθυνσης </w:t>
            </w:r>
            <w:proofErr w:type="spellStart"/>
            <w:r w:rsidRPr="00264A2F">
              <w:t>Κυβερνοασφάλειας</w:t>
            </w:r>
            <w:proofErr w:type="spellEnd"/>
            <w:r w:rsidRPr="00264A2F">
              <w:t xml:space="preserve"> της Γενικής Γραμματείας Τηλεπικοινωνιών και Ταχυδρομείων του Υπουργείου Ψηφιακής Διακυβέρνησης, που έχει ορισθεί ως Εθνική Αρχή της </w:t>
            </w:r>
            <w:proofErr w:type="spellStart"/>
            <w:r w:rsidRPr="00264A2F">
              <w:t>Κυβερνοασφάλειας</w:t>
            </w:r>
            <w:proofErr w:type="spellEnd"/>
            <w:r w:rsidRPr="00264A2F">
              <w:t xml:space="preserve">, β) της Διεύθυνσης </w:t>
            </w:r>
            <w:proofErr w:type="spellStart"/>
            <w:r w:rsidRPr="00264A2F">
              <w:t>Κυβερνοάμυνας</w:t>
            </w:r>
            <w:proofErr w:type="spellEnd"/>
            <w:r w:rsidRPr="00264A2F">
              <w:t xml:space="preserve"> του ΓΕΕΘΑ, που έχει ορισθεί ως αρμόδια ομάδα απόκρισης  για συμβάντα που αφορούν στην ασφάλεια υπολογιστών, γ) της Διεύθυνσης Κυβερνοχώρου της ΕΥΠ ως ομάδα αντιμετώπισης ηλεκτρονικών επιθέσεων (Εθνικό CERT) και δ) της Ελληνικής Αστυνομίας.  Οι αρμοδιότητες της Επιτροπής είναι: α) να παρέχει κατευθύνσεις σε περίπτωση εξαιρετικού συμβάντος που ενέχει στρατηγικό κίνδυνο, β) να συντονίζει, παρακολουθεί και αξιολογεί την υλοποίηση της Εθνικής  Στρατηγικής </w:t>
            </w:r>
            <w:proofErr w:type="spellStart"/>
            <w:r w:rsidRPr="00264A2F">
              <w:t>Κυβερνοασφάλειας</w:t>
            </w:r>
            <w:proofErr w:type="spellEnd"/>
            <w:r w:rsidRPr="00264A2F">
              <w:t xml:space="preserve">, γ) να εγκρίνει το Εθνικό Σχέδιο Έκτακτης Ανάγκης, δ) να εισηγείται στο ΚΥ.Σ.Ε.Α. οποιοδήποτε θέμα άπτεται της </w:t>
            </w:r>
            <w:proofErr w:type="spellStart"/>
            <w:r w:rsidRPr="00264A2F">
              <w:t>Κυβερνοασφάλειας</w:t>
            </w:r>
            <w:proofErr w:type="spellEnd"/>
            <w:r w:rsidRPr="00264A2F">
              <w:t xml:space="preserve"> και ε) να αίρει τυχόν διαφωνίες ως προς τις αρμοδιότητες και τους  ρόλους  των φορέων </w:t>
            </w:r>
            <w:proofErr w:type="spellStart"/>
            <w:r w:rsidRPr="00264A2F">
              <w:t>Κυβερνοασφάλειας</w:t>
            </w:r>
            <w:proofErr w:type="spellEnd"/>
            <w:r w:rsidRPr="00264A2F">
              <w:t>.</w:t>
            </w:r>
          </w:p>
        </w:tc>
      </w:tr>
      <w:tr w:rsidR="00264A2F" w14:paraId="3D935D7F" w14:textId="77777777" w:rsidTr="00BD0019">
        <w:tc>
          <w:tcPr>
            <w:tcW w:w="2972" w:type="dxa"/>
          </w:tcPr>
          <w:p w14:paraId="4FE3D333" w14:textId="567B8DD1" w:rsidR="00264A2F" w:rsidRDefault="00264A2F" w:rsidP="00AF0B6C">
            <w:pPr>
              <w:jc w:val="both"/>
            </w:pPr>
            <w:r>
              <w:t>Σ</w:t>
            </w:r>
            <w:r w:rsidRPr="00264A2F">
              <w:t xml:space="preserve">ύστημα μελέτης και έγκαιρης προειδοποίησης κινδύνου για την </w:t>
            </w:r>
            <w:proofErr w:type="spellStart"/>
            <w:r w:rsidRPr="00264A2F">
              <w:t>κυβερνοασφάλεια</w:t>
            </w:r>
            <w:proofErr w:type="spellEnd"/>
          </w:p>
        </w:tc>
        <w:tc>
          <w:tcPr>
            <w:tcW w:w="5103" w:type="dxa"/>
          </w:tcPr>
          <w:p w14:paraId="722A31E0" w14:textId="77777777" w:rsidR="00264A2F" w:rsidRPr="00D204AE" w:rsidRDefault="00264A2F" w:rsidP="00BD0019">
            <w:pPr>
              <w:jc w:val="both"/>
            </w:pPr>
          </w:p>
        </w:tc>
        <w:tc>
          <w:tcPr>
            <w:tcW w:w="5873" w:type="dxa"/>
          </w:tcPr>
          <w:p w14:paraId="57C86339" w14:textId="67564293" w:rsidR="00264A2F" w:rsidRDefault="00264A2F" w:rsidP="00BD0019">
            <w:pPr>
              <w:jc w:val="both"/>
            </w:pPr>
            <w:r>
              <w:t>Η</w:t>
            </w:r>
            <w:r w:rsidRPr="00264A2F">
              <w:t xml:space="preserve"> Εθνική Αρχή της </w:t>
            </w:r>
            <w:proofErr w:type="spellStart"/>
            <w:r w:rsidRPr="00264A2F">
              <w:t>Κυβερνοασφάλειας</w:t>
            </w:r>
            <w:proofErr w:type="spellEnd"/>
            <w:r w:rsidRPr="00264A2F">
              <w:t xml:space="preserve"> σε συνεργασία με τη Διεύθυνση Κυβερνοχώρου της ΕΥΠ, τη  Διεύθυνση </w:t>
            </w:r>
            <w:proofErr w:type="spellStart"/>
            <w:r w:rsidRPr="00264A2F">
              <w:t>Κυβερνοάμυνας</w:t>
            </w:r>
            <w:proofErr w:type="spellEnd"/>
            <w:r w:rsidRPr="00264A2F">
              <w:t xml:space="preserve"> του ΓΕΕΘΑ, την Ελληνική Αστυνομία και κάθε άλλο αρμόδιο φορέα, καταρτίζει Εθνικό Σχέδιο Αποτίμησης Επικινδυνότητας Συστημάτων Τεχνολογίας Πληροφορικής και Επικοινωνιών, το οποίο διαβαθμίζεται σύμφωνα με τον Εθνικό Κανονισμό Ασφαλείας.</w:t>
            </w:r>
          </w:p>
        </w:tc>
      </w:tr>
      <w:tr w:rsidR="008C2A76" w14:paraId="16961A46" w14:textId="77777777" w:rsidTr="00BD0019">
        <w:tc>
          <w:tcPr>
            <w:tcW w:w="2972" w:type="dxa"/>
          </w:tcPr>
          <w:p w14:paraId="312AA7F2" w14:textId="3AC1D2EE" w:rsidR="008C2A76" w:rsidRDefault="008C2A76" w:rsidP="00AF0B6C">
            <w:pPr>
              <w:jc w:val="both"/>
            </w:pPr>
            <w:r>
              <w:lastRenderedPageBreak/>
              <w:t>Π</w:t>
            </w:r>
            <w:r w:rsidRPr="008C2A76">
              <w:t>ροστασία των δεδομένων προσωπικού χαρακτήρα</w:t>
            </w:r>
          </w:p>
        </w:tc>
        <w:tc>
          <w:tcPr>
            <w:tcW w:w="5103" w:type="dxa"/>
          </w:tcPr>
          <w:p w14:paraId="4C79CC46" w14:textId="3798241A" w:rsidR="008C2A76" w:rsidRPr="00D204AE" w:rsidRDefault="008C2A76" w:rsidP="00BD0019">
            <w:pPr>
              <w:jc w:val="both"/>
            </w:pPr>
            <w:r>
              <w:t>Ν. 4624/2019</w:t>
            </w:r>
          </w:p>
        </w:tc>
        <w:tc>
          <w:tcPr>
            <w:tcW w:w="5873" w:type="dxa"/>
          </w:tcPr>
          <w:p w14:paraId="779E7FB4" w14:textId="36849569" w:rsidR="008C2A76" w:rsidRDefault="008C2A76" w:rsidP="00BD0019">
            <w:pPr>
              <w:jc w:val="both"/>
            </w:pPr>
            <w:r>
              <w:t xml:space="preserve">Με </w:t>
            </w:r>
            <w:r w:rsidRPr="008C2A76">
              <w:t xml:space="preserve">12 παρεμβάσεις </w:t>
            </w:r>
            <w:r>
              <w:t xml:space="preserve">του παρόντος νομοσχεδίου </w:t>
            </w:r>
            <w:r w:rsidRPr="008C2A76">
              <w:t xml:space="preserve">καλύπτονται κενά και αίρονται σχετικές ασάφειες προς την κατεύθυνση της ενίσχυση του βασικού δικαιώματος προστασίας προσωπικών δεδομένων. Επιπλέον, για την παρακολούθηση των σχετικών πολιτικών, συστήνεται στο Υπουργείο Δικαιοσύνης Μόνιμη Επιστημονική Επιτροπή Προσωπικών Δεδομένων με αποστολή: α) την παρακολούθηση των επιστημονικών και </w:t>
            </w:r>
            <w:proofErr w:type="spellStart"/>
            <w:r w:rsidRPr="008C2A76">
              <w:t>νομολογιακών</w:t>
            </w:r>
            <w:proofErr w:type="spellEnd"/>
            <w:r w:rsidRPr="008C2A76">
              <w:t xml:space="preserve"> εξελίξεων και του εθνικού και </w:t>
            </w:r>
            <w:proofErr w:type="spellStart"/>
            <w:r w:rsidRPr="008C2A76">
              <w:t>ενωσιακού</w:t>
            </w:r>
            <w:proofErr w:type="spellEnd"/>
            <w:r w:rsidRPr="008C2A76">
              <w:t xml:space="preserve"> νομικού πλαισίου προστασίας των δεδομένων προσωπικού χαρακτήρα, β) την υποβολή τεκμηριωμένων προτάσεων για την ανάληψη νομοθετικής δράσης στον τομέα αυτό, γ) την άσκηση καθηκόντων νομοπαρασκευαστικού έργου και δ) την αντιπροσώπευση του Υπουργείου Δικαιοσύνης σε διεθνή όργανα. Τέλος προβλέπεται ότι με διάταξη Εισαγγελέα, η Ελληνική Αστυνομία προβαίνει σε ανακοίνωση ή δημοσιοποίηση των στοιχείων της ταυτότητας, της εικόνας και της ποινικής δίωξης κατηγορουμένου ή καταδικασθέντος για κακούργημα, για πλημμέλημα κατά της γενετήσιας ελευθερίας, καθώς και για πλημμέλημα το οποίο τιμωρείται με ποινή φυλάκισης τουλάχιστον δυο 2 ετών.</w:t>
            </w:r>
          </w:p>
        </w:tc>
      </w:tr>
    </w:tbl>
    <w:p w14:paraId="7F648C63" w14:textId="77777777" w:rsidR="00C1392C" w:rsidRDefault="00C1392C"/>
    <w:sectPr w:rsidR="00C1392C" w:rsidSect="00AF0B6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21"/>
    <w:rsid w:val="00002D82"/>
    <w:rsid w:val="00007A29"/>
    <w:rsid w:val="001C5911"/>
    <w:rsid w:val="00264A2F"/>
    <w:rsid w:val="002D34E7"/>
    <w:rsid w:val="003D6D2F"/>
    <w:rsid w:val="004206AB"/>
    <w:rsid w:val="00471181"/>
    <w:rsid w:val="00632837"/>
    <w:rsid w:val="006A4C21"/>
    <w:rsid w:val="007B07BD"/>
    <w:rsid w:val="00820427"/>
    <w:rsid w:val="00885127"/>
    <w:rsid w:val="00891418"/>
    <w:rsid w:val="008C2A76"/>
    <w:rsid w:val="00A76B1D"/>
    <w:rsid w:val="00AF0B6C"/>
    <w:rsid w:val="00B02D14"/>
    <w:rsid w:val="00B67620"/>
    <w:rsid w:val="00BC715A"/>
    <w:rsid w:val="00BD0019"/>
    <w:rsid w:val="00C1392C"/>
    <w:rsid w:val="00D204AE"/>
    <w:rsid w:val="00E36D7D"/>
    <w:rsid w:val="00F64D1E"/>
    <w:rsid w:val="00FB47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FFC9"/>
  <w15:chartTrackingRefBased/>
  <w15:docId w15:val="{2BA8EA77-E11D-45DA-BC51-2D16D5B7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7558</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Τάσος</dc:creator>
  <cp:keywords/>
  <dc:description/>
  <cp:lastModifiedBy>Pantelis Arsenis</cp:lastModifiedBy>
  <cp:revision>2</cp:revision>
  <dcterms:created xsi:type="dcterms:W3CDTF">2022-11-15T17:59:00Z</dcterms:created>
  <dcterms:modified xsi:type="dcterms:W3CDTF">2022-11-15T17:59:00Z</dcterms:modified>
</cp:coreProperties>
</file>